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BA35F" w14:textId="421EE44F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32295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32295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32295B" w:rsidRPr="0032295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300</w:t>
      </w:r>
      <w:r w:rsidR="0032295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687</w:t>
      </w:r>
    </w:p>
    <w:p w14:paraId="68A73D04" w14:textId="77777777" w:rsidR="00841BCD" w:rsidRPr="00EF698B" w:rsidRDefault="0052157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2DCAF0F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734CA7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F48D096" w14:textId="1899CDF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01B56">
        <w:rPr>
          <w:rFonts w:ascii="Arial" w:eastAsia="Calibri" w:hAnsi="Arial" w:cs="Arial"/>
          <w:b/>
          <w:bCs/>
          <w:sz w:val="24"/>
        </w:rPr>
        <w:t>Discussion on m</w:t>
      </w:r>
      <w:r w:rsidR="001E14ED">
        <w:rPr>
          <w:rFonts w:ascii="Arial" w:eastAsia="Calibri" w:hAnsi="Arial" w:cs="Arial"/>
          <w:b/>
          <w:bCs/>
          <w:sz w:val="24"/>
        </w:rPr>
        <w:t xml:space="preserve">obile IAB </w:t>
      </w:r>
      <w:r w:rsidR="001F55B3">
        <w:rPr>
          <w:rFonts w:ascii="Arial" w:eastAsia="Calibri" w:hAnsi="Arial" w:cs="Arial"/>
          <w:b/>
          <w:bCs/>
          <w:sz w:val="24"/>
        </w:rPr>
        <w:t>co-existence</w:t>
      </w:r>
    </w:p>
    <w:p w14:paraId="0776E6A8" w14:textId="5F7FFDBC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52037">
        <w:rPr>
          <w:rFonts w:ascii="Arial" w:eastAsia="MS Mincho" w:hAnsi="Arial" w:cs="Arial"/>
          <w:b/>
          <w:bCs/>
          <w:sz w:val="24"/>
          <w:szCs w:val="20"/>
        </w:rPr>
        <w:t>9</w:t>
      </w:r>
      <w:r w:rsidR="001E14ED">
        <w:rPr>
          <w:rFonts w:ascii="Arial" w:eastAsia="MS Mincho" w:hAnsi="Arial" w:cs="Arial"/>
          <w:b/>
          <w:bCs/>
          <w:sz w:val="24"/>
          <w:szCs w:val="20"/>
        </w:rPr>
        <w:t>.32.</w:t>
      </w:r>
      <w:r w:rsidR="001F55B3">
        <w:rPr>
          <w:rFonts w:ascii="Arial" w:eastAsia="MS Mincho" w:hAnsi="Arial" w:cs="Arial"/>
          <w:b/>
          <w:bCs/>
          <w:sz w:val="24"/>
          <w:szCs w:val="20"/>
        </w:rPr>
        <w:t>2</w:t>
      </w:r>
      <w:r w:rsidR="00F52037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  <w:r w:rsidR="00F52037" w:rsidRPr="00F52037">
        <w:rPr>
          <w:rFonts w:ascii="Arial" w:eastAsia="MS Mincho" w:hAnsi="Arial" w:cs="Arial"/>
          <w:b/>
          <w:bCs/>
          <w:sz w:val="24"/>
          <w:szCs w:val="20"/>
        </w:rPr>
        <w:t>Co-existence study</w:t>
      </w:r>
    </w:p>
    <w:p w14:paraId="777B7E8A" w14:textId="4C35F02F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01B56">
        <w:rPr>
          <w:rFonts w:ascii="Arial" w:eastAsia="Calibri" w:hAnsi="Arial" w:cs="Arial"/>
          <w:b/>
          <w:bCs/>
          <w:sz w:val="24"/>
        </w:rPr>
        <w:t>Approval</w:t>
      </w:r>
    </w:p>
    <w:p w14:paraId="57B26739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22ECF8B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BDEAE00" w14:textId="1E32DAC3" w:rsidR="00CB5FF7" w:rsidRDefault="00CB5FF7" w:rsidP="00CB5FF7">
      <w:bookmarkStart w:id="4" w:name="_Hlk125458406"/>
      <w:r>
        <w:t>The justification of the WID stated following</w:t>
      </w:r>
      <w:r w:rsidR="00A604F0">
        <w:t>, [1]</w:t>
      </w:r>
      <w:r>
        <w:t>:</w:t>
      </w:r>
    </w:p>
    <w:p w14:paraId="58C6251E" w14:textId="77777777" w:rsidR="00CB5FF7" w:rsidRPr="003E2750" w:rsidRDefault="00CB5FF7" w:rsidP="00CB5FF7">
      <w:pPr>
        <w:pStyle w:val="maintext"/>
        <w:spacing w:before="0" w:after="20" w:line="240" w:lineRule="auto"/>
        <w:ind w:left="720" w:firstLineChars="0" w:firstLine="0"/>
        <w:rPr>
          <w:rFonts w:eastAsia="Times New Roman" w:cs="Times New Roman"/>
          <w:i/>
          <w:iCs/>
          <w:sz w:val="20"/>
          <w:szCs w:val="20"/>
          <w:lang w:eastAsia="en-US"/>
        </w:rPr>
      </w:pP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 xml:space="preserve">The work on Mobile IAB in Rel-18 should focus on the scenario of </w:t>
      </w:r>
      <w:r w:rsidRPr="003E2750">
        <w:rPr>
          <w:rFonts w:eastAsia="Times New Roman" w:cs="Times New Roman"/>
          <w:i/>
          <w:iCs/>
          <w:sz w:val="20"/>
          <w:szCs w:val="20"/>
          <w:u w:val="single"/>
          <w:lang w:eastAsia="en-US"/>
        </w:rPr>
        <w:t>mobile-IAB-nodes mounted on vehicles providing 5G coverage/capacity enhancement to onboard and/or surrounding UEs</w:t>
      </w: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 xml:space="preserve">. </w:t>
      </w:r>
    </w:p>
    <w:p w14:paraId="448AD820" w14:textId="77777777" w:rsidR="00CB5FF7" w:rsidRPr="003E2750" w:rsidRDefault="00CB5FF7" w:rsidP="00CB5FF7">
      <w:pPr>
        <w:pStyle w:val="maintext"/>
        <w:spacing w:before="0" w:after="20" w:line="240" w:lineRule="auto"/>
        <w:ind w:left="720" w:firstLineChars="0" w:firstLine="0"/>
        <w:rPr>
          <w:rFonts w:eastAsia="Times New Roman" w:cs="Times New Roman"/>
          <w:i/>
          <w:iCs/>
          <w:sz w:val="20"/>
          <w:szCs w:val="20"/>
          <w:lang w:eastAsia="en-US"/>
        </w:rPr>
      </w:pP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 xml:space="preserve">In Rel-18, mobile IAB supports the following functionality, applicable to </w:t>
      </w:r>
      <w:r w:rsidRPr="003E2750">
        <w:rPr>
          <w:rFonts w:eastAsia="Times New Roman" w:cs="Times New Roman"/>
          <w:i/>
          <w:iCs/>
          <w:sz w:val="20"/>
          <w:szCs w:val="20"/>
          <w:u w:val="single"/>
          <w:lang w:eastAsia="en-US"/>
        </w:rPr>
        <w:t>FR1 and FR2</w:t>
      </w: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>:</w:t>
      </w:r>
    </w:p>
    <w:p w14:paraId="1D921081" w14:textId="77777777" w:rsidR="00CB5FF7" w:rsidRPr="003E2750" w:rsidRDefault="00CB5FF7" w:rsidP="00CB5FF7">
      <w:pPr>
        <w:pStyle w:val="maintext"/>
        <w:numPr>
          <w:ilvl w:val="0"/>
          <w:numId w:val="27"/>
        </w:numPr>
        <w:spacing w:before="0" w:after="20" w:line="240" w:lineRule="auto"/>
        <w:ind w:left="1440" w:firstLineChars="0"/>
        <w:rPr>
          <w:rFonts w:eastAsia="Times New Roman" w:cs="Times New Roman"/>
          <w:i/>
          <w:iCs/>
          <w:sz w:val="20"/>
          <w:szCs w:val="20"/>
          <w:lang w:eastAsia="en-US"/>
        </w:rPr>
      </w:pPr>
      <w:r w:rsidRPr="003E2750">
        <w:rPr>
          <w:rFonts w:eastAsia="Times New Roman" w:cs="Times New Roman"/>
          <w:i/>
          <w:iCs/>
          <w:sz w:val="20"/>
          <w:szCs w:val="20"/>
          <w:u w:val="single"/>
          <w:lang w:eastAsia="en-US"/>
        </w:rPr>
        <w:t>In-band and out-of-band backhauling</w:t>
      </w: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>.</w:t>
      </w:r>
    </w:p>
    <w:p w14:paraId="078FE648" w14:textId="77777777" w:rsidR="00CB5FF7" w:rsidRPr="003E2750" w:rsidRDefault="00CB5FF7" w:rsidP="00CB5FF7">
      <w:pPr>
        <w:pStyle w:val="maintext"/>
        <w:numPr>
          <w:ilvl w:val="0"/>
          <w:numId w:val="27"/>
        </w:numPr>
        <w:spacing w:before="0" w:after="20" w:line="240" w:lineRule="auto"/>
        <w:ind w:left="1434" w:firstLineChars="0" w:hanging="357"/>
        <w:rPr>
          <w:rFonts w:eastAsia="Times New Roman" w:cs="Times New Roman"/>
          <w:i/>
          <w:iCs/>
          <w:sz w:val="20"/>
          <w:szCs w:val="20"/>
          <w:lang w:eastAsia="en-US"/>
        </w:rPr>
      </w:pP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>The mobile IAB-node should have no descendent IAB-nodes, i.e., it serves only UEs.</w:t>
      </w:r>
    </w:p>
    <w:p w14:paraId="3681FB39" w14:textId="77777777" w:rsidR="00CB5FF7" w:rsidRPr="003E2750" w:rsidRDefault="00CB5FF7" w:rsidP="001200DD">
      <w:pPr>
        <w:pStyle w:val="maintext"/>
        <w:numPr>
          <w:ilvl w:val="0"/>
          <w:numId w:val="27"/>
        </w:numPr>
        <w:spacing w:before="0" w:after="240" w:line="240" w:lineRule="auto"/>
        <w:ind w:left="1434" w:firstLineChars="0" w:hanging="357"/>
        <w:rPr>
          <w:rFonts w:eastAsia="Times New Roman" w:cs="Times New Roman"/>
          <w:i/>
          <w:iCs/>
          <w:sz w:val="20"/>
          <w:szCs w:val="20"/>
          <w:lang w:eastAsia="en-US"/>
        </w:rPr>
      </w:pP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>Solutions should support UE HO and UE DC</w:t>
      </w:r>
    </w:p>
    <w:bookmarkEnd w:id="4"/>
    <w:p w14:paraId="338F93D9" w14:textId="3BF8364A" w:rsidR="00CB5FF7" w:rsidRDefault="00CB5FF7" w:rsidP="00CB5FF7">
      <w:pPr>
        <w:rPr>
          <w:rFonts w:eastAsia="Times New Roman" w:cs="Times New Roman"/>
        </w:rPr>
      </w:pPr>
      <w:r>
        <w:rPr>
          <w:rFonts w:eastAsia="Times New Roman" w:cs="Times New Roman"/>
        </w:rPr>
        <w:t>The underlined point</w:t>
      </w:r>
      <w:r w:rsidR="001200DD">
        <w:rPr>
          <w:rFonts w:eastAsia="Times New Roman" w:cs="Times New Roman"/>
        </w:rPr>
        <w:t>s</w:t>
      </w:r>
      <w:r>
        <w:rPr>
          <w:rFonts w:eastAsia="Times New Roman" w:cs="Times New Roman"/>
        </w:rPr>
        <w:t xml:space="preserve"> will be relevant for RAN4 work providing the basis for the scenario assumptions and consequently the requirements for the mobile IAB operation.</w:t>
      </w:r>
    </w:p>
    <w:p w14:paraId="2627B304" w14:textId="64891533" w:rsidR="00CB5FF7" w:rsidRDefault="001200DD" w:rsidP="00CB5FF7">
      <w:pPr>
        <w:rPr>
          <w:rFonts w:eastAsia="Times New Roman" w:cs="Times New Roman"/>
        </w:rPr>
      </w:pPr>
      <w:r>
        <w:rPr>
          <w:rFonts w:eastAsia="Times New Roman" w:cs="Times New Roman"/>
        </w:rPr>
        <w:t>In the WID [1], following mobile IAB specific objectives were defined for t</w:t>
      </w:r>
      <w:r w:rsidR="00CB5FF7">
        <w:rPr>
          <w:rFonts w:eastAsia="Times New Roman" w:cs="Times New Roman"/>
        </w:rPr>
        <w:t xml:space="preserve">he RAN4 </w:t>
      </w:r>
      <w:r>
        <w:rPr>
          <w:rFonts w:eastAsia="Times New Roman" w:cs="Times New Roman"/>
        </w:rPr>
        <w:t>work</w:t>
      </w:r>
      <w:r w:rsidR="00CB5FF7">
        <w:rPr>
          <w:rFonts w:eastAsia="Times New Roman" w:cs="Times New Roman"/>
        </w:rPr>
        <w:t>:</w:t>
      </w:r>
    </w:p>
    <w:p w14:paraId="5C0B695B" w14:textId="77777777" w:rsidR="00CB5FF7" w:rsidRPr="003E2750" w:rsidRDefault="00CB5FF7" w:rsidP="00CB5FF7">
      <w:pPr>
        <w:pStyle w:val="maintext"/>
        <w:spacing w:line="240" w:lineRule="auto"/>
        <w:ind w:left="720" w:firstLineChars="0" w:firstLine="0"/>
        <w:jc w:val="left"/>
        <w:rPr>
          <w:rFonts w:eastAsia="Times New Roman" w:cs="Times New Roman"/>
          <w:i/>
          <w:iCs/>
          <w:sz w:val="20"/>
          <w:szCs w:val="20"/>
          <w:lang w:eastAsia="en-US"/>
        </w:rPr>
      </w:pP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>RAN4 is expected to study impact on RF and RRM requirements:</w:t>
      </w:r>
    </w:p>
    <w:p w14:paraId="3CD5BE25" w14:textId="77777777" w:rsidR="00CB5FF7" w:rsidRPr="003E2750" w:rsidRDefault="00CB5FF7" w:rsidP="00CB5FF7">
      <w:pPr>
        <w:pStyle w:val="maintext"/>
        <w:numPr>
          <w:ilvl w:val="0"/>
          <w:numId w:val="28"/>
        </w:numPr>
        <w:spacing w:before="0" w:after="0" w:line="240" w:lineRule="auto"/>
        <w:ind w:left="1434" w:firstLineChars="0" w:hanging="357"/>
        <w:jc w:val="left"/>
        <w:rPr>
          <w:rFonts w:eastAsia="Times New Roman" w:cs="Times New Roman"/>
          <w:i/>
          <w:iCs/>
          <w:sz w:val="20"/>
          <w:szCs w:val="20"/>
          <w:lang w:eastAsia="en-US"/>
        </w:rPr>
      </w:pP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 xml:space="preserve">Conduct co-existence study to assess the impact of moving cells. Based on the study outcome, specify RF and RRM requirements and mechanisms for the mobile IAB-node to enable co-existence, if needed. </w:t>
      </w:r>
    </w:p>
    <w:p w14:paraId="6EEC7578" w14:textId="77777777" w:rsidR="00CB5FF7" w:rsidRPr="003E2750" w:rsidRDefault="00CB5FF7" w:rsidP="003E2750">
      <w:pPr>
        <w:pStyle w:val="maintext"/>
        <w:numPr>
          <w:ilvl w:val="0"/>
          <w:numId w:val="28"/>
        </w:numPr>
        <w:spacing w:before="0" w:after="240" w:line="240" w:lineRule="auto"/>
        <w:ind w:left="1434" w:firstLineChars="0" w:hanging="357"/>
        <w:jc w:val="left"/>
        <w:rPr>
          <w:rFonts w:eastAsia="Times New Roman" w:cs="Times New Roman"/>
          <w:i/>
          <w:iCs/>
          <w:sz w:val="20"/>
          <w:szCs w:val="20"/>
          <w:lang w:eastAsia="en-US"/>
        </w:rPr>
      </w:pPr>
      <w:r w:rsidRPr="003E2750">
        <w:rPr>
          <w:rFonts w:eastAsia="Times New Roman" w:cs="Times New Roman"/>
          <w:i/>
          <w:iCs/>
          <w:sz w:val="20"/>
          <w:szCs w:val="20"/>
          <w:lang w:eastAsia="en-US"/>
        </w:rPr>
        <w:t>Specify RRM requirements for the mobile IAB-node to enable IAB-node mobility, if needed.</w:t>
      </w:r>
    </w:p>
    <w:p w14:paraId="2143DDF3" w14:textId="1D57A7EE" w:rsidR="00E323E9" w:rsidRDefault="00CB5FF7" w:rsidP="005C23A4">
      <w:r>
        <w:t>In this contribution we elaborate the scenarios and assumptions for the co-existence study and basis for the eventual requirements.</w:t>
      </w:r>
    </w:p>
    <w:p w14:paraId="6219E7C6" w14:textId="77777777" w:rsidR="0060543D" w:rsidRPr="00EF698B" w:rsidRDefault="0060543D" w:rsidP="005C23A4"/>
    <w:p w14:paraId="16DD8A06" w14:textId="77777777" w:rsidR="003B659E" w:rsidRPr="00EF698B" w:rsidRDefault="003B659E" w:rsidP="00AE56B1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161DFE73" w14:textId="5C30D262" w:rsidR="00CB5FF7" w:rsidRDefault="00CB5FF7" w:rsidP="00CB5FF7">
      <w:pPr>
        <w:pStyle w:val="RAN4H2"/>
      </w:pPr>
      <w:r>
        <w:t>Co-existence</w:t>
      </w:r>
    </w:p>
    <w:p w14:paraId="22109EF1" w14:textId="4C4C2193" w:rsidR="00CB5FF7" w:rsidRDefault="00CB5FF7" w:rsidP="00CB5FF7">
      <w:r>
        <w:t xml:space="preserve">Mobility of the IAB-nodes cause time varying distance between interfering node and the victim node, consequently varying interference scenarios. Additional interference cases can be between mobile IAB-node and the RAN nodes (can be </w:t>
      </w:r>
      <w:proofErr w:type="spellStart"/>
      <w:r>
        <w:t>gNBs</w:t>
      </w:r>
      <w:proofErr w:type="spellEnd"/>
      <w:r>
        <w:t xml:space="preserve"> or other (stationary) IAB-nodes), or between mobile IAB-node and UEs. </w:t>
      </w:r>
      <w:r w:rsidR="6095AC75">
        <w:t xml:space="preserve">Based on </w:t>
      </w:r>
      <w:r>
        <w:t>the WID description</w:t>
      </w:r>
      <w:r w:rsidR="00D44D95">
        <w:t xml:space="preserve"> [1]</w:t>
      </w:r>
      <w:r>
        <w:t xml:space="preserve">, at least following </w:t>
      </w:r>
      <w:r w:rsidR="0079039F">
        <w:t xml:space="preserve">5 </w:t>
      </w:r>
      <w:r>
        <w:t>deployment options can be envisioned:</w:t>
      </w:r>
    </w:p>
    <w:p w14:paraId="72AE3A52" w14:textId="77777777" w:rsidR="00CB5FF7" w:rsidRDefault="00CB5FF7" w:rsidP="00877833">
      <w:pPr>
        <w:pStyle w:val="ListParagraph"/>
        <w:numPr>
          <w:ilvl w:val="0"/>
          <w:numId w:val="29"/>
        </w:numPr>
      </w:pPr>
      <w:r>
        <w:t>Mobile IAB operating on the same band as the serving RAN</w:t>
      </w:r>
    </w:p>
    <w:p w14:paraId="21005387" w14:textId="77777777" w:rsidR="00CB5FF7" w:rsidRDefault="00CB5FF7" w:rsidP="00877833">
      <w:pPr>
        <w:pStyle w:val="ListParagraph"/>
        <w:numPr>
          <w:ilvl w:val="1"/>
          <w:numId w:val="29"/>
        </w:numPr>
      </w:pPr>
      <w:r>
        <w:t>Mobile IAB (MT &amp; DU) using the same carriers as the serving RAN</w:t>
      </w:r>
    </w:p>
    <w:p w14:paraId="24911FB6" w14:textId="77777777" w:rsidR="00CB5FF7" w:rsidRDefault="00CB5FF7" w:rsidP="00877833">
      <w:pPr>
        <w:pStyle w:val="ListParagraph"/>
        <w:numPr>
          <w:ilvl w:val="1"/>
          <w:numId w:val="29"/>
        </w:numPr>
      </w:pPr>
      <w:r>
        <w:t>Dedicated carrier(s) assigned for mobile IAB BH, access on the same carriers as fixed RAN</w:t>
      </w:r>
    </w:p>
    <w:p w14:paraId="6E7A4F66" w14:textId="77777777" w:rsidR="00CB5FF7" w:rsidRDefault="00CB5FF7" w:rsidP="00877833">
      <w:pPr>
        <w:pStyle w:val="ListParagraph"/>
        <w:numPr>
          <w:ilvl w:val="1"/>
          <w:numId w:val="29"/>
        </w:numPr>
      </w:pPr>
      <w:r>
        <w:t>Dedicated carrier(s) assigned for mobile IAB BH, access on the same carriers as BH</w:t>
      </w:r>
    </w:p>
    <w:p w14:paraId="6544E46E" w14:textId="77777777" w:rsidR="00CB5FF7" w:rsidRDefault="00CB5FF7" w:rsidP="00877833">
      <w:pPr>
        <w:pStyle w:val="ListParagraph"/>
        <w:numPr>
          <w:ilvl w:val="0"/>
          <w:numId w:val="29"/>
        </w:numPr>
      </w:pPr>
      <w:r>
        <w:t>Mobile IAB operating on a dedicated band</w:t>
      </w:r>
    </w:p>
    <w:p w14:paraId="1EFC2ADA" w14:textId="77777777" w:rsidR="00CB5FF7" w:rsidRDefault="00CB5FF7" w:rsidP="00877833">
      <w:pPr>
        <w:pStyle w:val="ListParagraph"/>
        <w:numPr>
          <w:ilvl w:val="1"/>
          <w:numId w:val="29"/>
        </w:numPr>
      </w:pPr>
      <w:r>
        <w:t>Access link on the same band as the BH</w:t>
      </w:r>
    </w:p>
    <w:p w14:paraId="4B04AD55" w14:textId="77777777" w:rsidR="00CB5FF7" w:rsidRDefault="00CB5FF7" w:rsidP="00877833">
      <w:pPr>
        <w:pStyle w:val="ListParagraph"/>
        <w:numPr>
          <w:ilvl w:val="1"/>
          <w:numId w:val="29"/>
        </w:numPr>
      </w:pPr>
      <w:r>
        <w:t>Access link on the same band as served RAN</w:t>
      </w:r>
    </w:p>
    <w:p w14:paraId="0D7A824E" w14:textId="77777777" w:rsidR="00CB5FF7" w:rsidRDefault="00CB5FF7" w:rsidP="00CB5FF7">
      <w:r>
        <w:lastRenderedPageBreak/>
        <w:t>Furthermore, as the mobile IAB-node is assumed to be mounted in vehicles and serving UEs either inside (on-board) or outside the vehicle, there can be alternative installation options for the BH and access link antennas:</w:t>
      </w:r>
    </w:p>
    <w:p w14:paraId="2FE59772" w14:textId="77777777" w:rsidR="00CB5FF7" w:rsidRDefault="00CB5FF7" w:rsidP="00877833">
      <w:pPr>
        <w:pStyle w:val="ListParagraph"/>
        <w:numPr>
          <w:ilvl w:val="0"/>
          <w:numId w:val="29"/>
        </w:numPr>
      </w:pPr>
      <w:r>
        <w:t>BH (IAB-MT) antenna outside the vehicle (e.g. rooftop) and access (IAB-DU) antenna inside the vehicle</w:t>
      </w:r>
    </w:p>
    <w:p w14:paraId="15EFB13B" w14:textId="77777777" w:rsidR="00CB5FF7" w:rsidRDefault="00CB5FF7" w:rsidP="00877833">
      <w:pPr>
        <w:pStyle w:val="ListParagraph"/>
        <w:numPr>
          <w:ilvl w:val="0"/>
          <w:numId w:val="29"/>
        </w:numPr>
      </w:pPr>
      <w:r>
        <w:t>BH and access antennas inside the vehicle</w:t>
      </w:r>
    </w:p>
    <w:p w14:paraId="276EDC7B" w14:textId="77777777" w:rsidR="00CB5FF7" w:rsidRDefault="00CB5FF7" w:rsidP="00877833">
      <w:pPr>
        <w:pStyle w:val="ListParagraph"/>
        <w:numPr>
          <w:ilvl w:val="0"/>
          <w:numId w:val="29"/>
        </w:numPr>
      </w:pPr>
      <w:r>
        <w:t>BH and access antennas installed outside (e.g. rooftop) the vehicle</w:t>
      </w:r>
    </w:p>
    <w:p w14:paraId="630D2F6D" w14:textId="77777777" w:rsidR="00CB5FF7" w:rsidRDefault="00CB5FF7" w:rsidP="00CB5FF7">
      <w:r>
        <w:t xml:space="preserve">Some isolation can be assumed between the IAB-DU antenna inside the vehicle and IAB-MT antenna installed outside the vehicle. Furthermore, if IAB-node antennas are inside the vehicle, mobile cells are to some degree isolated from the external cells. </w:t>
      </w:r>
    </w:p>
    <w:p w14:paraId="6C9FEDB3" w14:textId="6949B518" w:rsidR="0060543D" w:rsidRDefault="00CB5FF7" w:rsidP="00CB5FF7">
      <w:r>
        <w:t>For a</w:t>
      </w:r>
      <w:r w:rsidR="00F7590E">
        <w:t xml:space="preserve">bove </w:t>
      </w:r>
      <w:r>
        <w:t>scenarios</w:t>
      </w:r>
      <w:r w:rsidR="00F7590E">
        <w:t xml:space="preserve"> 1-5</w:t>
      </w:r>
      <w:r>
        <w:t>, RAN4 should conduct adequate stud</w:t>
      </w:r>
      <w:r w:rsidR="00067AE5">
        <w:t>y</w:t>
      </w:r>
      <w:r>
        <w:t xml:space="preserve"> to determine firstly relevant scenarios and their priorities for Rel.18 work, and secondly, determine suitable parameter values for the selected deployment and operational scenarios</w:t>
      </w:r>
      <w:r w:rsidR="00067AE5">
        <w:t>, the main mobile specific parameter being the minimum coupling between the aggressor and victim nodes</w:t>
      </w:r>
      <w:r>
        <w:t xml:space="preserve">. </w:t>
      </w:r>
    </w:p>
    <w:p w14:paraId="20B4FABA" w14:textId="6A51FBE5" w:rsidR="00AA47B6" w:rsidRPr="00877833" w:rsidRDefault="00067AE5" w:rsidP="00E55751">
      <w:pPr>
        <w:pStyle w:val="RAN4observation0"/>
        <w:rPr>
          <w:b/>
          <w:bCs/>
        </w:rPr>
      </w:pPr>
      <w:bookmarkStart w:id="6" w:name="_Toc126665358"/>
      <w:bookmarkStart w:id="7" w:name="_Toc126665968"/>
      <w:bookmarkStart w:id="8" w:name="_Toc126665989"/>
      <w:bookmarkStart w:id="9" w:name="_Toc126665359"/>
      <w:bookmarkStart w:id="10" w:name="_Toc126665969"/>
      <w:bookmarkStart w:id="11" w:name="_Toc126665990"/>
      <w:bookmarkStart w:id="12" w:name="_Toc126665991"/>
      <w:bookmarkEnd w:id="6"/>
      <w:bookmarkEnd w:id="7"/>
      <w:bookmarkEnd w:id="8"/>
      <w:bookmarkEnd w:id="9"/>
      <w:bookmarkEnd w:id="10"/>
      <w:bookmarkEnd w:id="11"/>
      <w:r w:rsidRPr="00877833">
        <w:rPr>
          <w:b/>
          <w:bCs/>
        </w:rPr>
        <w:t>In mobile IAB scenarios, the main affecting issue for the requirements will be the varying coupling between the aggressor and victim nodes.</w:t>
      </w:r>
      <w:bookmarkEnd w:id="12"/>
    </w:p>
    <w:p w14:paraId="6DD3C293" w14:textId="43A3D03F" w:rsidR="00F7590E" w:rsidRPr="00F7590E" w:rsidRDefault="00F7590E" w:rsidP="00F7590E">
      <w:pPr>
        <w:rPr>
          <w:lang w:val="en-GB"/>
        </w:rPr>
      </w:pPr>
      <w:r>
        <w:rPr>
          <w:rFonts w:eastAsia="Calibri" w:cs="Times New Roman"/>
          <w:szCs w:val="20"/>
          <w:lang w:val="en-GB"/>
        </w:rPr>
        <w:t>Thus</w:t>
      </w:r>
      <w:r w:rsidR="00950665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it proposed to</w:t>
      </w:r>
      <w:r w:rsidR="00F432BE">
        <w:rPr>
          <w:rFonts w:eastAsia="Calibri" w:cs="Times New Roman"/>
          <w:szCs w:val="20"/>
          <w:lang w:val="en-GB"/>
        </w:rPr>
        <w:t xml:space="preserve"> consider scenarios 1 to 5 defined above for mobile IAB, discuss and agree </w:t>
      </w:r>
      <w:r w:rsidR="00950665">
        <w:rPr>
          <w:rFonts w:eastAsia="Calibri" w:cs="Times New Roman"/>
          <w:szCs w:val="20"/>
          <w:lang w:val="en-GB"/>
        </w:rPr>
        <w:t xml:space="preserve">the priorities of those for Rel.18 work. </w:t>
      </w:r>
      <w:r w:rsidR="00F432BE">
        <w:rPr>
          <w:rFonts w:eastAsia="Calibri" w:cs="Times New Roman"/>
          <w:szCs w:val="20"/>
          <w:lang w:val="en-GB"/>
        </w:rPr>
        <w:t xml:space="preserve"> </w:t>
      </w:r>
    </w:p>
    <w:p w14:paraId="24CA6339" w14:textId="2EDBD7CC" w:rsidR="00CB5FF7" w:rsidRPr="00CB5FF7" w:rsidRDefault="00CB5FF7" w:rsidP="00CB5FF7">
      <w:pPr>
        <w:pStyle w:val="RAN4proposal"/>
      </w:pPr>
      <w:bookmarkStart w:id="13" w:name="_Toc126665992"/>
      <w:r>
        <w:t xml:space="preserve">In the study phase, RAN4 to consider mobile IAB scenarios </w:t>
      </w:r>
      <w:r w:rsidR="00F7590E">
        <w:t xml:space="preserve">1 to 5 </w:t>
      </w:r>
      <w:r>
        <w:t>defined above and decide about the priorities of those for Rel.18 work.</w:t>
      </w:r>
      <w:bookmarkEnd w:id="13"/>
    </w:p>
    <w:p w14:paraId="52562BDB" w14:textId="01C7266D" w:rsidR="00110481" w:rsidRDefault="00B951C8" w:rsidP="005C23A4">
      <w:r>
        <w:t>For the relevant mobile IAB scenarios, RAN4 shall study and evaluate what requirements will be affected and thus requiring mobile IAB -</w:t>
      </w:r>
      <w:r w:rsidR="0001207C">
        <w:t xml:space="preserve"> </w:t>
      </w:r>
      <w:r>
        <w:t xml:space="preserve">specific </w:t>
      </w:r>
      <w:r w:rsidR="006D38E5">
        <w:t xml:space="preserve">requirements </w:t>
      </w:r>
      <w:r>
        <w:t>values.</w:t>
      </w:r>
      <w:r w:rsidR="00D026E9">
        <w:t xml:space="preserve"> Following issues shall be considered for the mobile IAB requirements:</w:t>
      </w:r>
    </w:p>
    <w:p w14:paraId="0C830D83" w14:textId="43A1F2E6" w:rsidR="00EF37C5" w:rsidRDefault="00D026E9" w:rsidP="00877833">
      <w:pPr>
        <w:pStyle w:val="ListParagraph"/>
        <w:numPr>
          <w:ilvl w:val="0"/>
          <w:numId w:val="30"/>
        </w:numPr>
      </w:pPr>
      <w:r>
        <w:t>The type of the IAB-MT, power class</w:t>
      </w:r>
    </w:p>
    <w:p w14:paraId="1208CC62" w14:textId="36F02CEF" w:rsidR="00427298" w:rsidRDefault="00D026E9" w:rsidP="00877833">
      <w:pPr>
        <w:pStyle w:val="ListParagraph"/>
        <w:numPr>
          <w:ilvl w:val="0"/>
          <w:numId w:val="30"/>
        </w:numPr>
      </w:pPr>
      <w:r>
        <w:t xml:space="preserve">TX power setting </w:t>
      </w:r>
    </w:p>
    <w:p w14:paraId="005E89F4" w14:textId="36F89C53" w:rsidR="00427298" w:rsidRDefault="00D026E9" w:rsidP="00877833">
      <w:pPr>
        <w:pStyle w:val="ListParagraph"/>
        <w:numPr>
          <w:ilvl w:val="0"/>
          <w:numId w:val="30"/>
        </w:numPr>
      </w:pPr>
      <w:r>
        <w:t>Power control range, dynamic or semi-static</w:t>
      </w:r>
    </w:p>
    <w:p w14:paraId="61E11A01" w14:textId="7A91EB46" w:rsidR="00427298" w:rsidRDefault="00D026E9" w:rsidP="00877833">
      <w:pPr>
        <w:pStyle w:val="ListParagraph"/>
        <w:numPr>
          <w:ilvl w:val="0"/>
          <w:numId w:val="30"/>
        </w:numPr>
      </w:pPr>
      <w:r>
        <w:t>ACLR</w:t>
      </w:r>
    </w:p>
    <w:p w14:paraId="460E7AED" w14:textId="33F55457" w:rsidR="00D026E9" w:rsidRDefault="00D026E9" w:rsidP="00877833">
      <w:pPr>
        <w:pStyle w:val="ListParagraph"/>
        <w:numPr>
          <w:ilvl w:val="0"/>
          <w:numId w:val="30"/>
        </w:numPr>
      </w:pPr>
      <w:r>
        <w:t>ACRR</w:t>
      </w:r>
    </w:p>
    <w:p w14:paraId="757DACB2" w14:textId="4AFBD570" w:rsidR="00D026E9" w:rsidRDefault="00D026E9" w:rsidP="00D026E9">
      <w:r>
        <w:t>In all cases, any further requirements for the deployed RAN nodes should not be assumed in order to support mobile IAB</w:t>
      </w:r>
      <w:r w:rsidR="00067AE5">
        <w:t xml:space="preserve"> i.e., new requirements shall be applicable to the mobile IAB-nodes only</w:t>
      </w:r>
      <w:r w:rsidR="0094181C">
        <w:t>.</w:t>
      </w:r>
    </w:p>
    <w:p w14:paraId="4EDD418E" w14:textId="7A776824" w:rsidR="002A19F5" w:rsidRDefault="00A871C5" w:rsidP="00E437D2">
      <w:pPr>
        <w:pStyle w:val="RAN4observation0"/>
      </w:pPr>
      <w:bookmarkStart w:id="14" w:name="_Toc126665362"/>
      <w:bookmarkStart w:id="15" w:name="_Toc126665993"/>
      <w:bookmarkStart w:id="16" w:name="_Toc126665363"/>
      <w:bookmarkStart w:id="17" w:name="_Toc126665973"/>
      <w:bookmarkStart w:id="18" w:name="_Toc126665994"/>
      <w:bookmarkEnd w:id="14"/>
      <w:bookmarkEnd w:id="15"/>
      <w:bookmarkEnd w:id="16"/>
      <w:bookmarkEnd w:id="17"/>
      <w:bookmarkEnd w:id="18"/>
      <w:r w:rsidRPr="00A871C5">
        <w:rPr>
          <w:b/>
          <w:bCs/>
        </w:rPr>
        <w:t xml:space="preserve"> </w:t>
      </w:r>
      <w:bookmarkStart w:id="19" w:name="_Toc126665995"/>
      <w:r w:rsidRPr="002F39BB">
        <w:rPr>
          <w:b/>
          <w:bCs/>
        </w:rPr>
        <w:t>Possible new requirements should be introduced only to the mobile IAB-nodes.</w:t>
      </w:r>
      <w:bookmarkEnd w:id="19"/>
    </w:p>
    <w:p w14:paraId="1928CBFD" w14:textId="46295680" w:rsidR="005B4801" w:rsidRDefault="00414F81" w:rsidP="000239F5">
      <w:pPr>
        <w:pStyle w:val="RAN4proposal"/>
      </w:pPr>
      <w:r>
        <w:t xml:space="preserve"> </w:t>
      </w:r>
      <w:bookmarkStart w:id="20" w:name="_Toc126665996"/>
      <w:bookmarkStart w:id="21" w:name="_Toc116994713"/>
      <w:bookmarkStart w:id="22" w:name="_Toc116994826"/>
      <w:bookmarkStart w:id="23" w:name="_Toc116994898"/>
      <w:bookmarkStart w:id="24" w:name="_Toc116994912"/>
      <w:bookmarkStart w:id="25" w:name="_Toc116995101"/>
      <w:bookmarkStart w:id="26" w:name="_Toc116995144"/>
      <w:bookmarkStart w:id="27" w:name="_Toc116995900"/>
      <w:bookmarkStart w:id="28" w:name="_Toc116995946"/>
      <w:bookmarkStart w:id="29" w:name="_Toc116996074"/>
      <w:bookmarkStart w:id="30" w:name="_Toc116996134"/>
      <w:bookmarkStart w:id="31" w:name="_Toc116996434"/>
      <w:bookmarkStart w:id="32" w:name="_Toc116996755"/>
      <w:bookmarkStart w:id="33" w:name="_Toc116997068"/>
      <w:r w:rsidR="00067AE5">
        <w:t>Any new requirements should not be mandatory for the already deployed network in order to support mobile IAB.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78467AA" w14:textId="77777777" w:rsidR="0060543D" w:rsidRPr="0060543D" w:rsidRDefault="0060543D" w:rsidP="0060543D"/>
    <w:p w14:paraId="0D89D06F" w14:textId="77777777" w:rsidR="00CD7492" w:rsidRPr="00EF698B" w:rsidRDefault="00CD7492" w:rsidP="00A37002">
      <w:pPr>
        <w:pStyle w:val="RAN4H1"/>
        <w:rPr>
          <w:lang w:val="en-US"/>
        </w:rPr>
      </w:pPr>
      <w:bookmarkStart w:id="34" w:name="_Toc116995848"/>
      <w:r w:rsidRPr="00EF698B">
        <w:rPr>
          <w:lang w:val="en-US"/>
        </w:rPr>
        <w:t>Conclusion</w:t>
      </w:r>
      <w:bookmarkEnd w:id="34"/>
    </w:p>
    <w:p w14:paraId="0BD30CED" w14:textId="4AC65F56" w:rsidR="00E55751" w:rsidRPr="00592A86" w:rsidRDefault="00D74057" w:rsidP="00936159">
      <w:r w:rsidRPr="00D74057">
        <w:t xml:space="preserve">In this contribution we elaborate the scenarios and assumptions for the co-existence study and basis for the eventual </w:t>
      </w:r>
      <w:proofErr w:type="spellStart"/>
      <w:r w:rsidRPr="00D74057">
        <w:t>requirements.</w:t>
      </w:r>
      <w:r w:rsidR="00877833">
        <w:t>T</w:t>
      </w:r>
      <w:r w:rsidR="005B4801">
        <w:t>he</w:t>
      </w:r>
      <w:proofErr w:type="spellEnd"/>
      <w:r w:rsidR="005B4801">
        <w:t xml:space="preserve"> </w:t>
      </w:r>
      <w:r w:rsidR="005B4801" w:rsidRPr="00E55751">
        <w:t xml:space="preserve">following Observations </w:t>
      </w:r>
      <w:r w:rsidR="008B0961" w:rsidRPr="00E55751">
        <w:t>and</w:t>
      </w:r>
      <w:r w:rsidR="005B4801">
        <w:t xml:space="preserve"> Proposals were made:</w:t>
      </w:r>
    </w:p>
    <w:p w14:paraId="30306246" w14:textId="77777777" w:rsidR="00D5270B" w:rsidRPr="000D0F93" w:rsidRDefault="00D5270B" w:rsidP="00936159">
      <w:pPr>
        <w:rPr>
          <w:highlight w:val="yellow"/>
        </w:rPr>
      </w:pPr>
    </w:p>
    <w:p w14:paraId="3A75DE85" w14:textId="5FBC1F62" w:rsidR="00A871C5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26665991" w:history="1">
        <w:r w:rsidR="00A871C5" w:rsidRPr="006803C1">
          <w:rPr>
            <w:rStyle w:val="Hyperlink"/>
            <w:b/>
            <w:bCs/>
            <w:noProof/>
          </w:rPr>
          <w:t>Observation 1: In mobile IAB scenarios, the main affecting issue for the requirements will be the varying coupling between the aggressor and victim nodes.</w:t>
        </w:r>
      </w:hyperlink>
    </w:p>
    <w:p w14:paraId="56E65773" w14:textId="3B47E2FD" w:rsidR="00A871C5" w:rsidRDefault="00A871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26665992" w:history="1">
        <w:r w:rsidRPr="006803C1">
          <w:rPr>
            <w:rStyle w:val="Hyperlink"/>
            <w:noProof/>
          </w:rPr>
          <w:t>Proposal 1: In the study phase, RAN4 to consider mobile IAB scenarios 1 to 5 defined above and decide about the priorities of those for Rel.18 work.</w:t>
        </w:r>
      </w:hyperlink>
    </w:p>
    <w:p w14:paraId="5DB5CD63" w14:textId="3E9ADA28" w:rsidR="00A871C5" w:rsidRDefault="00A871C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26665995" w:history="1">
        <w:r w:rsidRPr="006803C1">
          <w:rPr>
            <w:rStyle w:val="Hyperlink"/>
            <w:b/>
            <w:noProof/>
          </w:rPr>
          <w:t>Observation 2:</w:t>
        </w:r>
        <w:r w:rsidRPr="006803C1">
          <w:rPr>
            <w:rStyle w:val="Hyperlink"/>
            <w:b/>
            <w:bCs/>
            <w:noProof/>
          </w:rPr>
          <w:t xml:space="preserve"> Possible new requirements should be introduced only to the mobile IAB-nodes.</w:t>
        </w:r>
      </w:hyperlink>
    </w:p>
    <w:p w14:paraId="22953D69" w14:textId="5FA437FF" w:rsidR="00A871C5" w:rsidRDefault="00A871C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26665996" w:history="1">
        <w:r w:rsidRPr="006803C1">
          <w:rPr>
            <w:rStyle w:val="Hyperlink"/>
            <w:noProof/>
          </w:rPr>
          <w:t>Proposal 2: Any new requirements should not be mandatory for the already deployed network in order to support mobile IAB.</w:t>
        </w:r>
      </w:hyperlink>
    </w:p>
    <w:p w14:paraId="505E5962" w14:textId="77777777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lastRenderedPageBreak/>
        <w:fldChar w:fldCharType="end"/>
      </w:r>
      <w:bookmarkStart w:id="35" w:name="_Toc116995849"/>
      <w:r w:rsidR="003B659E" w:rsidRPr="00EF698B">
        <w:t>References</w:t>
      </w:r>
      <w:bookmarkEnd w:id="35"/>
    </w:p>
    <w:p w14:paraId="6F461D2C" w14:textId="77777777" w:rsidR="00CB5FF7" w:rsidRPr="00B85140" w:rsidRDefault="00CB5FF7" w:rsidP="00CB5FF7">
      <w:pPr>
        <w:pStyle w:val="ListParagraph"/>
        <w:numPr>
          <w:ilvl w:val="0"/>
          <w:numId w:val="21"/>
        </w:numPr>
        <w:ind w:right="-22"/>
      </w:pPr>
      <w:bookmarkStart w:id="36" w:name="_Ref114500673"/>
      <w:bookmarkEnd w:id="36"/>
      <w:r w:rsidRPr="00B85140">
        <w:t xml:space="preserve">RP-222671, </w:t>
      </w:r>
      <w:r w:rsidRPr="00B85140">
        <w:rPr>
          <w:i/>
          <w:iCs/>
        </w:rPr>
        <w:t>Mobile IAB (Integrated Access and Backhaul) for NR</w:t>
      </w:r>
    </w:p>
    <w:sectPr w:rsidR="00CB5FF7" w:rsidRPr="00B8514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D8A4C" w14:textId="77777777" w:rsidR="00A81100" w:rsidRDefault="00A81100" w:rsidP="00001C9B">
      <w:pPr>
        <w:spacing w:after="0" w:line="240" w:lineRule="auto"/>
      </w:pPr>
      <w:r>
        <w:separator/>
      </w:r>
    </w:p>
  </w:endnote>
  <w:endnote w:type="continuationSeparator" w:id="0">
    <w:p w14:paraId="5C49503F" w14:textId="77777777" w:rsidR="00A81100" w:rsidRDefault="00A81100" w:rsidP="00001C9B">
      <w:pPr>
        <w:spacing w:after="0" w:line="240" w:lineRule="auto"/>
      </w:pPr>
      <w:r>
        <w:continuationSeparator/>
      </w:r>
    </w:p>
  </w:endnote>
  <w:endnote w:type="continuationNotice" w:id="1">
    <w:p w14:paraId="083EF357" w14:textId="77777777" w:rsidR="00A81100" w:rsidRDefault="00A811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MW Group Condensed">
    <w:altName w:val="Calibri"/>
    <w:charset w:val="00"/>
    <w:family w:val="swiss"/>
    <w:pitch w:val="variable"/>
    <w:sig w:usb0="8000002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EF9C" w14:textId="77777777" w:rsidR="00A81100" w:rsidRDefault="00A81100" w:rsidP="00001C9B">
      <w:pPr>
        <w:spacing w:after="0" w:line="240" w:lineRule="auto"/>
      </w:pPr>
      <w:r>
        <w:separator/>
      </w:r>
    </w:p>
  </w:footnote>
  <w:footnote w:type="continuationSeparator" w:id="0">
    <w:p w14:paraId="3A69A9BB" w14:textId="77777777" w:rsidR="00A81100" w:rsidRDefault="00A81100" w:rsidP="00001C9B">
      <w:pPr>
        <w:spacing w:after="0" w:line="240" w:lineRule="auto"/>
      </w:pPr>
      <w:r>
        <w:continuationSeparator/>
      </w:r>
    </w:p>
  </w:footnote>
  <w:footnote w:type="continuationNotice" w:id="1">
    <w:p w14:paraId="019B7D4D" w14:textId="77777777" w:rsidR="00A81100" w:rsidRDefault="00A8110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F727B"/>
    <w:multiLevelType w:val="hybridMultilevel"/>
    <w:tmpl w:val="874C0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D4953"/>
    <w:multiLevelType w:val="hybridMultilevel"/>
    <w:tmpl w:val="591C1D02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22530B"/>
    <w:multiLevelType w:val="hybridMultilevel"/>
    <w:tmpl w:val="E7149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D45689"/>
    <w:multiLevelType w:val="hybridMultilevel"/>
    <w:tmpl w:val="6720A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6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5"/>
  </w:num>
  <w:num w:numId="17">
    <w:abstractNumId w:val="13"/>
  </w:num>
  <w:num w:numId="18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2"/>
  </w:num>
  <w:num w:numId="22">
    <w:abstractNumId w:val="9"/>
    <w:lvlOverride w:ilvl="0">
      <w:startOverride w:val="1"/>
    </w:lvlOverride>
  </w:num>
  <w:num w:numId="23">
    <w:abstractNumId w:val="10"/>
    <w:lvlOverride w:ilvl="0">
      <w:startOverride w:val="1"/>
    </w:lvlOverride>
  </w:num>
  <w:num w:numId="24">
    <w:abstractNumId w:val="3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16"/>
  </w:num>
  <w:num w:numId="28">
    <w:abstractNumId w:val="14"/>
  </w:num>
  <w:num w:numId="29">
    <w:abstractNumId w:val="2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B6B90"/>
    <w:rsid w:val="00001C9B"/>
    <w:rsid w:val="000040DC"/>
    <w:rsid w:val="0001207C"/>
    <w:rsid w:val="000151EF"/>
    <w:rsid w:val="000239F5"/>
    <w:rsid w:val="00067AE5"/>
    <w:rsid w:val="0008612A"/>
    <w:rsid w:val="00090E18"/>
    <w:rsid w:val="000926C9"/>
    <w:rsid w:val="000A10BC"/>
    <w:rsid w:val="000B0056"/>
    <w:rsid w:val="000C3C7B"/>
    <w:rsid w:val="000D0F93"/>
    <w:rsid w:val="00106416"/>
    <w:rsid w:val="00110481"/>
    <w:rsid w:val="001127C9"/>
    <w:rsid w:val="00115B88"/>
    <w:rsid w:val="001200DD"/>
    <w:rsid w:val="00132F6A"/>
    <w:rsid w:val="00133913"/>
    <w:rsid w:val="00140221"/>
    <w:rsid w:val="00141FD6"/>
    <w:rsid w:val="001642FC"/>
    <w:rsid w:val="0016496B"/>
    <w:rsid w:val="001743E2"/>
    <w:rsid w:val="001745F8"/>
    <w:rsid w:val="001838CF"/>
    <w:rsid w:val="001868EE"/>
    <w:rsid w:val="001A32BE"/>
    <w:rsid w:val="001A3BA4"/>
    <w:rsid w:val="001A6D1F"/>
    <w:rsid w:val="001E14ED"/>
    <w:rsid w:val="001E30F6"/>
    <w:rsid w:val="001F55B3"/>
    <w:rsid w:val="00213490"/>
    <w:rsid w:val="00217EE5"/>
    <w:rsid w:val="00235F5C"/>
    <w:rsid w:val="00257FA3"/>
    <w:rsid w:val="00277B56"/>
    <w:rsid w:val="002A19F5"/>
    <w:rsid w:val="002B3012"/>
    <w:rsid w:val="002B4922"/>
    <w:rsid w:val="002C22C3"/>
    <w:rsid w:val="002C2D19"/>
    <w:rsid w:val="002D10FA"/>
    <w:rsid w:val="002D4C55"/>
    <w:rsid w:val="002E6DED"/>
    <w:rsid w:val="00300956"/>
    <w:rsid w:val="00317187"/>
    <w:rsid w:val="0032295B"/>
    <w:rsid w:val="0032499A"/>
    <w:rsid w:val="003341F7"/>
    <w:rsid w:val="00347FEC"/>
    <w:rsid w:val="00356F45"/>
    <w:rsid w:val="00366B74"/>
    <w:rsid w:val="003A710A"/>
    <w:rsid w:val="003B659E"/>
    <w:rsid w:val="003C275E"/>
    <w:rsid w:val="003E2750"/>
    <w:rsid w:val="003E58DF"/>
    <w:rsid w:val="00404C4C"/>
    <w:rsid w:val="0041423F"/>
    <w:rsid w:val="00414F81"/>
    <w:rsid w:val="00427298"/>
    <w:rsid w:val="00436A0F"/>
    <w:rsid w:val="00437150"/>
    <w:rsid w:val="0043750A"/>
    <w:rsid w:val="004732E9"/>
    <w:rsid w:val="004854BB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1B56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D38E5"/>
    <w:rsid w:val="006E1151"/>
    <w:rsid w:val="006E6311"/>
    <w:rsid w:val="007145FF"/>
    <w:rsid w:val="00715B2A"/>
    <w:rsid w:val="007450F1"/>
    <w:rsid w:val="00751515"/>
    <w:rsid w:val="00761CC5"/>
    <w:rsid w:val="007626B7"/>
    <w:rsid w:val="0078212B"/>
    <w:rsid w:val="00784DF6"/>
    <w:rsid w:val="00785232"/>
    <w:rsid w:val="0079039F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51A8E"/>
    <w:rsid w:val="0085365B"/>
    <w:rsid w:val="00877833"/>
    <w:rsid w:val="008826C1"/>
    <w:rsid w:val="00883DFD"/>
    <w:rsid w:val="008A1BF7"/>
    <w:rsid w:val="008A5B0E"/>
    <w:rsid w:val="008B0961"/>
    <w:rsid w:val="008E25E9"/>
    <w:rsid w:val="0090091A"/>
    <w:rsid w:val="009042BD"/>
    <w:rsid w:val="00936159"/>
    <w:rsid w:val="0094079E"/>
    <w:rsid w:val="0094181C"/>
    <w:rsid w:val="00950665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604F0"/>
    <w:rsid w:val="00A61623"/>
    <w:rsid w:val="00A81100"/>
    <w:rsid w:val="00A871C5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408B6"/>
    <w:rsid w:val="00B542DA"/>
    <w:rsid w:val="00B73862"/>
    <w:rsid w:val="00B73F43"/>
    <w:rsid w:val="00B951C8"/>
    <w:rsid w:val="00BA6B66"/>
    <w:rsid w:val="00BA6E48"/>
    <w:rsid w:val="00BB6B90"/>
    <w:rsid w:val="00BD362D"/>
    <w:rsid w:val="00BE0AF6"/>
    <w:rsid w:val="00BE1F03"/>
    <w:rsid w:val="00BE58A7"/>
    <w:rsid w:val="00BF2218"/>
    <w:rsid w:val="00C0426B"/>
    <w:rsid w:val="00C045DF"/>
    <w:rsid w:val="00C169B8"/>
    <w:rsid w:val="00C26D43"/>
    <w:rsid w:val="00C40971"/>
    <w:rsid w:val="00C46548"/>
    <w:rsid w:val="00C574D5"/>
    <w:rsid w:val="00C73F32"/>
    <w:rsid w:val="00C87462"/>
    <w:rsid w:val="00CA180C"/>
    <w:rsid w:val="00CB22B2"/>
    <w:rsid w:val="00CB5FF7"/>
    <w:rsid w:val="00CC3EE2"/>
    <w:rsid w:val="00CD7492"/>
    <w:rsid w:val="00CE3A6B"/>
    <w:rsid w:val="00D00211"/>
    <w:rsid w:val="00D026E9"/>
    <w:rsid w:val="00D06309"/>
    <w:rsid w:val="00D16EDB"/>
    <w:rsid w:val="00D351EA"/>
    <w:rsid w:val="00D40288"/>
    <w:rsid w:val="00D43403"/>
    <w:rsid w:val="00D44D95"/>
    <w:rsid w:val="00D5270B"/>
    <w:rsid w:val="00D62E71"/>
    <w:rsid w:val="00D6430D"/>
    <w:rsid w:val="00D66188"/>
    <w:rsid w:val="00D731F6"/>
    <w:rsid w:val="00D74057"/>
    <w:rsid w:val="00D740CA"/>
    <w:rsid w:val="00D8535B"/>
    <w:rsid w:val="00D85728"/>
    <w:rsid w:val="00D95481"/>
    <w:rsid w:val="00DC7A13"/>
    <w:rsid w:val="00DF2997"/>
    <w:rsid w:val="00E10BC4"/>
    <w:rsid w:val="00E1415D"/>
    <w:rsid w:val="00E21F37"/>
    <w:rsid w:val="00E323E9"/>
    <w:rsid w:val="00E34018"/>
    <w:rsid w:val="00E437D2"/>
    <w:rsid w:val="00E55751"/>
    <w:rsid w:val="00EA2311"/>
    <w:rsid w:val="00EC7BC3"/>
    <w:rsid w:val="00ED7600"/>
    <w:rsid w:val="00EF37C5"/>
    <w:rsid w:val="00EF6073"/>
    <w:rsid w:val="00EF698B"/>
    <w:rsid w:val="00F1362C"/>
    <w:rsid w:val="00F414F1"/>
    <w:rsid w:val="00F432BE"/>
    <w:rsid w:val="00F508B8"/>
    <w:rsid w:val="00F52037"/>
    <w:rsid w:val="00F72CB1"/>
    <w:rsid w:val="00F7590E"/>
    <w:rsid w:val="00F8215E"/>
    <w:rsid w:val="00F824F5"/>
    <w:rsid w:val="00F9374D"/>
    <w:rsid w:val="00FC29B9"/>
    <w:rsid w:val="00FC6FD3"/>
    <w:rsid w:val="00FE305C"/>
    <w:rsid w:val="00FF0301"/>
    <w:rsid w:val="00FF695A"/>
    <w:rsid w:val="286ABF17"/>
    <w:rsid w:val="6095AC75"/>
    <w:rsid w:val="73DA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1F6DDC"/>
  <w15:chartTrackingRefBased/>
  <w15:docId w15:val="{20D12654-3BC1-42BB-9581-27C9DCA8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MW Group Condensed" w:hAnsi="BMW Group Condense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maintextChar">
    <w:name w:val="main text Char"/>
    <w:link w:val="maintext"/>
    <w:qFormat/>
    <w:locked/>
    <w:rsid w:val="00CB5FF7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CB5FF7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lang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C16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9B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9B8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keskita\Downloads\3GPP_Paper_Template_RAN4_%23106%20-%20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5AIRPNAIUNRU-1328258698-19385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https://nokia.sharepoint.com/sites/c5g/5gradio/_layouts/15/DocIdRedir.aspx?ID=5AIRPNAIUNRU-1328258698-19385</Url>
      <Description>5AIRPNAIUNRU-1328258698-19385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3GPP_Paper_Template_RAN4_#106 - Dimitri.dotx</Template>
  <TotalTime>3</TotalTime>
  <Pages>1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Ilkka Keskitalo (Nokia)</dc:creator>
  <cp:keywords>3GPP;RAN4</cp:keywords>
  <dc:description/>
  <cp:lastModifiedBy>Nokia - Bartlomiej Golebiowski</cp:lastModifiedBy>
  <cp:revision>36</cp:revision>
  <dcterms:created xsi:type="dcterms:W3CDTF">2023-01-17T10:15:00Z</dcterms:created>
  <dcterms:modified xsi:type="dcterms:W3CDTF">2023-02-17T12:29:00Z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c285d43c-b5a1-458c-a3a5-039c73173d19</vt:lpwstr>
  </property>
  <property fmtid="{D5CDD505-2E9C-101B-9397-08002B2CF9AE}" pid="11" name="MediaServiceImageTags">
    <vt:lpwstr/>
  </property>
</Properties>
</file>